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Normal"/>
        <w:tblW w:w="8800" w:type="dxa"/>
        <w:tblInd w:w="2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4A0" w:firstRow="1" w:lastRow="0" w:firstColumn="1" w:lastColumn="0" w:noHBand="0" w:noVBand="1"/>
      </w:tblPr>
      <w:tblGrid>
        <w:gridCol w:w="848"/>
        <w:gridCol w:w="7093"/>
        <w:gridCol w:w="859"/>
      </w:tblGrid>
      <w:tr w:rsidR="00EC73F7">
        <w:tblPrEx>
          <w:tblCellMar>
            <w:top w:w="0" w:type="dxa"/>
            <w:left w:w="0" w:type="dxa"/>
            <w:bottom w:w="0" w:type="dxa"/>
            <w:right w:w="0" w:type="dxa"/>
          </w:tblCellMar>
        </w:tblPrEx>
        <w:trPr>
          <w:trHeight w:val="1346"/>
        </w:trPr>
        <w:tc>
          <w:tcPr>
            <w:tcW w:w="848" w:type="dxa"/>
            <w:tcBorders>
              <w:top w:val="nil"/>
              <w:left w:val="nil"/>
              <w:bottom w:val="nil"/>
              <w:right w:val="nil"/>
            </w:tcBorders>
            <w:shd w:val="clear" w:color="auto" w:fill="auto"/>
            <w:tcMar>
              <w:top w:w="80" w:type="dxa"/>
              <w:left w:w="80" w:type="dxa"/>
              <w:bottom w:w="80" w:type="dxa"/>
              <w:right w:w="80" w:type="dxa"/>
            </w:tcMar>
          </w:tcPr>
          <w:p w:rsidR="00EC73F7" w:rsidRDefault="00A03977">
            <w:pPr>
              <w:jc w:val="right"/>
            </w:pPr>
            <w:r>
              <w:rPr>
                <w:noProof/>
              </w:rPr>
              <w:drawing>
                <wp:inline distT="0" distB="0" distL="0" distR="0">
                  <wp:extent cx="401216" cy="783281"/>
                  <wp:effectExtent l="0" t="0" r="0" b="0"/>
                  <wp:docPr id="1073741825" name="officeArt object" descr="r3b-s.jpg"/>
                  <wp:cNvGraphicFramePr/>
                  <a:graphic xmlns:a="http://schemas.openxmlformats.org/drawingml/2006/main">
                    <a:graphicData uri="http://schemas.openxmlformats.org/drawingml/2006/picture">
                      <pic:pic xmlns:pic="http://schemas.openxmlformats.org/drawingml/2006/picture">
                        <pic:nvPicPr>
                          <pic:cNvPr id="1073741825" name="r3b-s.jpg" descr="r3b-s.jpg"/>
                          <pic:cNvPicPr/>
                        </pic:nvPicPr>
                        <pic:blipFill>
                          <a:blip r:embed="rId7">
                            <a:extLst/>
                          </a:blip>
                          <a:stretch>
                            <a:fillRect/>
                          </a:stretch>
                        </pic:blipFill>
                        <pic:spPr>
                          <a:xfrm>
                            <a:off x="0" y="0"/>
                            <a:ext cx="401216" cy="783281"/>
                          </a:xfrm>
                          <a:prstGeom prst="rect">
                            <a:avLst/>
                          </a:prstGeom>
                          <a:ln w="12700" cap="flat">
                            <a:noFill/>
                            <a:miter lim="400000"/>
                          </a:ln>
                          <a:effectLst/>
                        </pic:spPr>
                      </pic:pic>
                    </a:graphicData>
                  </a:graphic>
                </wp:inline>
              </w:drawing>
            </w:r>
          </w:p>
        </w:tc>
        <w:tc>
          <w:tcPr>
            <w:tcW w:w="7093" w:type="dxa"/>
            <w:tcBorders>
              <w:top w:val="nil"/>
              <w:left w:val="nil"/>
              <w:bottom w:val="nil"/>
              <w:right w:val="nil"/>
            </w:tcBorders>
            <w:shd w:val="clear" w:color="auto" w:fill="auto"/>
            <w:tcMar>
              <w:top w:w="80" w:type="dxa"/>
              <w:left w:w="80" w:type="dxa"/>
              <w:bottom w:w="80" w:type="dxa"/>
              <w:right w:w="80" w:type="dxa"/>
            </w:tcMar>
          </w:tcPr>
          <w:p w:rsidR="00EC73F7" w:rsidRDefault="00A03977">
            <w:pPr>
              <w:jc w:val="center"/>
              <w:rPr>
                <w:b/>
                <w:bCs/>
                <w:position w:val="12"/>
                <w:sz w:val="30"/>
                <w:szCs w:val="30"/>
              </w:rPr>
            </w:pPr>
            <w:r>
              <w:rPr>
                <w:b/>
                <w:bCs/>
                <w:position w:val="12"/>
                <w:sz w:val="30"/>
                <w:szCs w:val="30"/>
              </w:rPr>
              <w:t>INTERNATIONAL AMATEUR RADIO UNION</w:t>
            </w:r>
          </w:p>
          <w:p w:rsidR="00EC73F7" w:rsidRDefault="00A03977">
            <w:pPr>
              <w:jc w:val="center"/>
              <w:rPr>
                <w:b/>
                <w:bCs/>
                <w:smallCaps/>
                <w:sz w:val="30"/>
                <w:szCs w:val="30"/>
              </w:rPr>
            </w:pPr>
            <w:r>
              <w:rPr>
                <w:b/>
                <w:bCs/>
                <w:position w:val="12"/>
                <w:sz w:val="30"/>
                <w:szCs w:val="30"/>
              </w:rPr>
              <w:t>REGION 3</w:t>
            </w:r>
          </w:p>
          <w:p w:rsidR="00EC73F7" w:rsidRDefault="00A03977">
            <w:pPr>
              <w:jc w:val="center"/>
            </w:pPr>
            <w:r>
              <w:rPr>
                <w:b/>
                <w:bCs/>
                <w:smallCaps/>
                <w:sz w:val="30"/>
                <w:szCs w:val="30"/>
              </w:rPr>
              <w:t>Sixteenth  Regional  Conference</w:t>
            </w:r>
          </w:p>
        </w:tc>
        <w:tc>
          <w:tcPr>
            <w:tcW w:w="859" w:type="dxa"/>
            <w:tcBorders>
              <w:top w:val="nil"/>
              <w:left w:val="nil"/>
              <w:bottom w:val="nil"/>
              <w:right w:val="nil"/>
            </w:tcBorders>
            <w:shd w:val="clear" w:color="auto" w:fill="auto"/>
            <w:tcMar>
              <w:top w:w="80" w:type="dxa"/>
              <w:left w:w="80" w:type="dxa"/>
              <w:bottom w:w="80" w:type="dxa"/>
              <w:right w:w="80" w:type="dxa"/>
            </w:tcMar>
          </w:tcPr>
          <w:p w:rsidR="00EC73F7" w:rsidRDefault="00A03977">
            <w:pPr>
              <w:jc w:val="right"/>
            </w:pPr>
            <w:r>
              <w:rPr>
                <w:noProof/>
              </w:rPr>
              <w:drawing>
                <wp:inline distT="0" distB="0" distL="0" distR="0">
                  <wp:extent cx="408252" cy="82197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VARC.png"/>
                          <pic:cNvPicPr/>
                        </pic:nvPicPr>
                        <pic:blipFill>
                          <a:blip r:embed="rId8">
                            <a:extLst/>
                          </a:blip>
                          <a:stretch>
                            <a:fillRect/>
                          </a:stretch>
                        </pic:blipFill>
                        <pic:spPr>
                          <a:xfrm>
                            <a:off x="0" y="0"/>
                            <a:ext cx="408252" cy="821970"/>
                          </a:xfrm>
                          <a:prstGeom prst="rect">
                            <a:avLst/>
                          </a:prstGeom>
                          <a:ln w="12700" cap="flat">
                            <a:noFill/>
                            <a:miter lim="400000"/>
                          </a:ln>
                          <a:effectLst/>
                        </pic:spPr>
                      </pic:pic>
                    </a:graphicData>
                  </a:graphic>
                </wp:inline>
              </w:drawing>
            </w:r>
          </w:p>
        </w:tc>
      </w:tr>
    </w:tbl>
    <w:p w:rsidR="00EC73F7" w:rsidRDefault="00EC73F7">
      <w:pPr>
        <w:pStyle w:val="a6"/>
        <w:widowControl w:val="0"/>
        <w:ind w:left="108" w:hanging="108"/>
      </w:pPr>
    </w:p>
    <w:p w:rsidR="00EC73F7" w:rsidRDefault="00A03977">
      <w:pPr>
        <w:pStyle w:val="Head"/>
        <w:tabs>
          <w:tab w:val="clear" w:pos="6663"/>
          <w:tab w:val="right" w:pos="8647"/>
        </w:tabs>
        <w:ind w:left="120"/>
        <w:rPr>
          <w:sz w:val="21"/>
          <w:szCs w:val="21"/>
        </w:rPr>
      </w:pPr>
      <w:r>
        <w:t>12</w:t>
      </w:r>
      <w:r>
        <w:rPr>
          <w:rFonts w:hAnsi="Times New Roman"/>
          <w:sz w:val="21"/>
          <w:szCs w:val="21"/>
        </w:rPr>
        <w:t xml:space="preserve"> – </w:t>
      </w:r>
      <w:r>
        <w:rPr>
          <w:sz w:val="21"/>
          <w:szCs w:val="21"/>
        </w:rPr>
        <w:t>16 October 2015</w:t>
      </w:r>
      <w:r>
        <w:rPr>
          <w:sz w:val="21"/>
          <w:szCs w:val="21"/>
        </w:rPr>
        <w:tab/>
        <w:t>Bali, Indonesia</w:t>
      </w:r>
    </w:p>
    <w:p w:rsidR="00EC73F7" w:rsidRDefault="00EC73F7">
      <w:pPr>
        <w:pStyle w:val="Data"/>
        <w:rPr>
          <w:sz w:val="20"/>
          <w:szCs w:val="20"/>
        </w:rPr>
      </w:pPr>
    </w:p>
    <w:p w:rsidR="00EC73F7" w:rsidRDefault="00A03977">
      <w:pPr>
        <w:pStyle w:val="Head"/>
        <w:tabs>
          <w:tab w:val="clear" w:pos="6663"/>
        </w:tabs>
        <w:jc w:val="right"/>
      </w:pPr>
      <w:r>
        <w:rPr>
          <w:b/>
          <w:bCs/>
        </w:rPr>
        <w:t>Document No. 15/XVI/</w:t>
      </w:r>
      <w:r w:rsidR="00DD5086">
        <w:rPr>
          <w:b/>
          <w:bCs/>
        </w:rPr>
        <w:t>061</w:t>
      </w:r>
      <w:bookmarkStart w:id="0" w:name="_GoBack"/>
      <w:bookmarkEnd w:id="0"/>
    </w:p>
    <w:p w:rsidR="00EC73F7" w:rsidRDefault="00A03977">
      <w:pPr>
        <w:pStyle w:val="Head"/>
        <w:tabs>
          <w:tab w:val="clear" w:pos="6663"/>
        </w:tabs>
        <w:jc w:val="right"/>
      </w:pPr>
      <w:r>
        <w:t>Agenda Item: 10.1.2</w:t>
      </w:r>
      <w:r w:rsidR="00DD5086">
        <w:rPr>
          <w:rFonts w:hint="eastAsia"/>
        </w:rPr>
        <w:t>4</w:t>
      </w:r>
    </w:p>
    <w:p w:rsidR="00EC73F7" w:rsidRDefault="00EC73F7">
      <w:pPr>
        <w:pStyle w:val="Subject"/>
        <w:tabs>
          <w:tab w:val="clear" w:pos="1134"/>
        </w:tabs>
        <w:ind w:left="0" w:firstLine="0"/>
      </w:pPr>
    </w:p>
    <w:p w:rsidR="00EC73F7" w:rsidRDefault="00A03977">
      <w:pPr>
        <w:pStyle w:val="a7"/>
        <w:ind w:left="0"/>
        <w:jc w:val="center"/>
        <w:rPr>
          <w:rFonts w:ascii="Times New Roman" w:eastAsia="Times New Roman" w:hAnsi="Times New Roman" w:cs="Times New Roman"/>
          <w:b/>
          <w:bCs/>
          <w:u w:val="single"/>
        </w:rPr>
      </w:pPr>
      <w:r>
        <w:rPr>
          <w:rFonts w:ascii="Times New Roman"/>
          <w:b/>
          <w:bCs/>
          <w:u w:val="single"/>
        </w:rPr>
        <w:t>Report of Chinese Taipei Amateur Radio League (CTARL)</w:t>
      </w:r>
    </w:p>
    <w:p w:rsidR="00EC73F7" w:rsidRDefault="00EC73F7">
      <w:pPr>
        <w:pStyle w:val="a7"/>
        <w:ind w:left="0"/>
        <w:jc w:val="both"/>
        <w:rPr>
          <w:rFonts w:ascii="Times New Roman" w:eastAsia="Times New Roman" w:hAnsi="Times New Roman" w:cs="Times New Roman"/>
        </w:rPr>
      </w:pP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b/>
          <w:bCs/>
          <w:u w:val="single"/>
        </w:rPr>
      </w:pPr>
      <w:r>
        <w:rPr>
          <w:rFonts w:ascii="Times New Roman"/>
          <w:b/>
          <w:bCs/>
          <w:u w:val="single"/>
        </w:rPr>
        <w:t>CTARL membership:</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rPr>
      </w:pPr>
      <w:r>
        <w:rPr>
          <w:rFonts w:ascii="Times New Roman"/>
        </w:rPr>
        <w:t>In 2015</w:t>
      </w:r>
      <w:r>
        <w:rPr>
          <w:rFonts w:ascii="Times New Roman"/>
        </w:rPr>
        <w:t>, there are total 491 members (including 212 life members). The individual annul membership fee is remained NT$600 (around US$20) and the life membership fee is NT$6000 (around US$200).</w:t>
      </w:r>
    </w:p>
    <w:p w:rsidR="00EC73F7" w:rsidRDefault="00EC73F7">
      <w:pPr>
        <w:pStyle w:val="a7"/>
        <w:ind w:left="0"/>
        <w:jc w:val="both"/>
        <w:rPr>
          <w:rFonts w:ascii="Times New Roman" w:eastAsia="Times New Roman" w:hAnsi="Times New Roman" w:cs="Times New Roman"/>
          <w:b/>
          <w:bCs/>
          <w:u w:val="single"/>
        </w:rPr>
      </w:pPr>
    </w:p>
    <w:p w:rsidR="00EC73F7" w:rsidRDefault="00A03977">
      <w:pPr>
        <w:pStyle w:val="a7"/>
        <w:ind w:left="0"/>
        <w:jc w:val="both"/>
        <w:rPr>
          <w:rFonts w:ascii="Times New Roman" w:eastAsia="Times New Roman" w:hAnsi="Times New Roman" w:cs="Times New Roman"/>
          <w:b/>
          <w:bCs/>
          <w:u w:val="single"/>
        </w:rPr>
      </w:pPr>
      <w:r>
        <w:rPr>
          <w:rFonts w:ascii="Times New Roman"/>
          <w:b/>
          <w:bCs/>
          <w:u w:val="single"/>
        </w:rPr>
        <w:t>Speicial international events:</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rPr>
      </w:pPr>
      <w:r>
        <w:rPr>
          <w:rFonts w:ascii="Times New Roman"/>
        </w:rPr>
        <w:t>There are some international events h</w:t>
      </w:r>
      <w:r>
        <w:rPr>
          <w:rFonts w:ascii="Times New Roman"/>
        </w:rPr>
        <w:t>osted in Taiwan and CTARL is managing the special amateur radio stations to promote and celebrate these events to people in Taiwan and all over the world.</w:t>
      </w:r>
    </w:p>
    <w:p w:rsidR="00EC73F7" w:rsidRDefault="00EC73F7">
      <w:pPr>
        <w:pStyle w:val="a7"/>
        <w:ind w:left="0"/>
        <w:jc w:val="both"/>
        <w:rPr>
          <w:rFonts w:ascii="Times New Roman" w:eastAsia="Times New Roman" w:hAnsi="Times New Roman" w:cs="Times New Roman"/>
        </w:rPr>
      </w:pPr>
    </w:p>
    <w:p w:rsidR="00EC73F7" w:rsidRDefault="00A03977">
      <w:pPr>
        <w:pStyle w:val="a7"/>
        <w:numPr>
          <w:ilvl w:val="0"/>
          <w:numId w:val="3"/>
        </w:numPr>
        <w:tabs>
          <w:tab w:val="num" w:pos="360"/>
        </w:tabs>
        <w:ind w:left="360" w:hanging="360"/>
        <w:jc w:val="both"/>
        <w:rPr>
          <w:rFonts w:ascii="Times New Roman" w:eastAsia="Times New Roman" w:hAnsi="Times New Roman" w:cs="Times New Roman"/>
        </w:rPr>
      </w:pPr>
      <w:r>
        <w:rPr>
          <w:rFonts w:ascii="Times New Roman"/>
        </w:rPr>
        <w:t>BV0QS:</w:t>
      </w:r>
    </w:p>
    <w:p w:rsidR="00EC73F7" w:rsidRDefault="00A03977">
      <w:pPr>
        <w:pStyle w:val="a7"/>
        <w:jc w:val="both"/>
        <w:rPr>
          <w:rFonts w:ascii="Times New Roman" w:eastAsia="Times New Roman" w:hAnsi="Times New Roman" w:cs="Times New Roman"/>
        </w:rPr>
      </w:pPr>
      <w:r>
        <w:rPr>
          <w:rFonts w:ascii="Times New Roman"/>
        </w:rPr>
        <w:t>Event: Celebration of 2/13 World Radio Day</w:t>
      </w:r>
    </w:p>
    <w:p w:rsidR="00EC73F7" w:rsidRDefault="00A03977">
      <w:pPr>
        <w:pStyle w:val="a7"/>
        <w:jc w:val="both"/>
        <w:rPr>
          <w:rFonts w:ascii="Times New Roman" w:eastAsia="Times New Roman" w:hAnsi="Times New Roman" w:cs="Times New Roman"/>
        </w:rPr>
      </w:pPr>
      <w:r>
        <w:rPr>
          <w:rFonts w:ascii="Times New Roman"/>
        </w:rPr>
        <w:t>Date: 2014/2/13</w:t>
      </w:r>
    </w:p>
    <w:p w:rsidR="00EC73F7" w:rsidRDefault="00A03977">
      <w:pPr>
        <w:pStyle w:val="a7"/>
        <w:jc w:val="both"/>
        <w:rPr>
          <w:rFonts w:ascii="Times New Roman" w:eastAsia="Times New Roman" w:hAnsi="Times New Roman" w:cs="Times New Roman"/>
        </w:rPr>
      </w:pPr>
      <w:r>
        <w:rPr>
          <w:rFonts w:ascii="Times New Roman"/>
        </w:rPr>
        <w:t>Callsign: BV0QS</w:t>
      </w:r>
    </w:p>
    <w:p w:rsidR="00EC73F7" w:rsidRDefault="00A03977">
      <w:pPr>
        <w:pStyle w:val="a7"/>
        <w:numPr>
          <w:ilvl w:val="0"/>
          <w:numId w:val="3"/>
        </w:numPr>
        <w:tabs>
          <w:tab w:val="num" w:pos="360"/>
        </w:tabs>
        <w:ind w:left="360" w:hanging="360"/>
        <w:jc w:val="both"/>
        <w:rPr>
          <w:rFonts w:ascii="Times New Roman" w:eastAsia="Times New Roman" w:hAnsi="Times New Roman" w:cs="Times New Roman"/>
        </w:rPr>
      </w:pPr>
      <w:r>
        <w:rPr>
          <w:rFonts w:ascii="Times New Roman"/>
        </w:rPr>
        <w:t>BO0D:</w:t>
      </w:r>
    </w:p>
    <w:p w:rsidR="00EC73F7" w:rsidRDefault="00A03977">
      <w:pPr>
        <w:pStyle w:val="a7"/>
        <w:ind w:left="360"/>
        <w:jc w:val="both"/>
        <w:rPr>
          <w:rFonts w:ascii="Times New Roman" w:eastAsia="Times New Roman" w:hAnsi="Times New Roman" w:cs="Times New Roman"/>
        </w:rPr>
      </w:pPr>
      <w:r>
        <w:rPr>
          <w:rFonts w:ascii="Times New Roman" w:eastAsia="Times New Roman" w:hAnsi="Times New Roman" w:cs="Times New Roman"/>
        </w:rPr>
        <w:tab/>
        <w:t xml:space="preserve">Event: </w:t>
      </w:r>
      <w:r>
        <w:rPr>
          <w:rFonts w:ascii="Times New Roman"/>
        </w:rPr>
        <w:t>IOTA</w:t>
      </w:r>
      <w:r>
        <w:rPr>
          <w:rFonts w:ascii="Times New Roman"/>
        </w:rPr>
        <w:t xml:space="preserve"> island Expedition. Dinging (Tungyi) island is the most north territory of R.O.C. (Republic of China/Taiwan). The official tourism information please find here: </w:t>
      </w:r>
      <w:hyperlink r:id="rId9" w:history="1">
        <w:r>
          <w:rPr>
            <w:rStyle w:val="Hyperlink0"/>
            <w:rFonts w:ascii="Times"/>
          </w:rPr>
          <w:t>http://www.ma</w:t>
        </w:r>
        <w:r>
          <w:rPr>
            <w:rStyle w:val="Hyperlink0"/>
            <w:rFonts w:ascii="Times"/>
          </w:rPr>
          <w:t>tsu-nsa.gov.tw/user/Attraction-Content.aspx?1=83&amp;I=1</w:t>
        </w:r>
      </w:hyperlink>
      <w:r>
        <w:rPr>
          <w:rFonts w:ascii="Times New Roman"/>
        </w:rPr>
        <w:t xml:space="preserve"> (Chinese). The official BO0D expedition information please find here: </w:t>
      </w:r>
      <w:hyperlink r:id="rId10" w:history="1">
        <w:r>
          <w:rPr>
            <w:rStyle w:val="Hyperlink0"/>
            <w:rFonts w:ascii="Times"/>
          </w:rPr>
          <w:t>http://www.ctarl.org.tw/bv5ya/2013-14/2014-BO0D.htm</w:t>
        </w:r>
      </w:hyperlink>
      <w:r>
        <w:rPr>
          <w:rFonts w:ascii="Times New Roman"/>
        </w:rPr>
        <w:t xml:space="preserve"> (Chinese).</w:t>
      </w:r>
    </w:p>
    <w:p w:rsidR="00EC73F7" w:rsidRDefault="00A03977">
      <w:pPr>
        <w:pStyle w:val="a7"/>
        <w:jc w:val="both"/>
        <w:rPr>
          <w:rFonts w:ascii="Times New Roman" w:eastAsia="Times New Roman" w:hAnsi="Times New Roman" w:cs="Times New Roman"/>
        </w:rPr>
      </w:pPr>
      <w:r>
        <w:rPr>
          <w:rFonts w:ascii="Times New Roman"/>
        </w:rPr>
        <w:t>Op</w:t>
      </w:r>
      <w:r>
        <w:rPr>
          <w:rFonts w:ascii="Times New Roman"/>
        </w:rPr>
        <w:t>eration period: 2014/9/13 - 2014/9/18</w:t>
      </w:r>
    </w:p>
    <w:p w:rsidR="00EC73F7" w:rsidRDefault="00A03977">
      <w:pPr>
        <w:pStyle w:val="a7"/>
        <w:jc w:val="both"/>
        <w:rPr>
          <w:rFonts w:ascii="Times New Roman" w:eastAsia="Times New Roman" w:hAnsi="Times New Roman" w:cs="Times New Roman"/>
        </w:rPr>
      </w:pPr>
      <w:r>
        <w:rPr>
          <w:rFonts w:ascii="Times New Roman"/>
        </w:rPr>
        <w:t>Callsign: BO0D</w:t>
      </w:r>
    </w:p>
    <w:p w:rsidR="00EC73F7" w:rsidRDefault="00A03977">
      <w:pPr>
        <w:pStyle w:val="a7"/>
        <w:numPr>
          <w:ilvl w:val="0"/>
          <w:numId w:val="3"/>
        </w:numPr>
        <w:tabs>
          <w:tab w:val="num" w:pos="360"/>
        </w:tabs>
        <w:ind w:left="360" w:hanging="360"/>
        <w:jc w:val="both"/>
        <w:rPr>
          <w:rFonts w:ascii="Times New Roman" w:eastAsia="Times New Roman" w:hAnsi="Times New Roman" w:cs="Times New Roman"/>
        </w:rPr>
      </w:pPr>
      <w:r>
        <w:rPr>
          <w:rFonts w:ascii="Times New Roman"/>
        </w:rPr>
        <w:lastRenderedPageBreak/>
        <w:t>BV70V:</w:t>
      </w:r>
    </w:p>
    <w:p w:rsidR="00EC73F7" w:rsidRDefault="00A03977">
      <w:pPr>
        <w:pStyle w:val="a7"/>
        <w:jc w:val="both"/>
        <w:rPr>
          <w:rFonts w:ascii="Times New Roman" w:eastAsia="Times New Roman" w:hAnsi="Times New Roman" w:cs="Times New Roman"/>
        </w:rPr>
      </w:pPr>
      <w:r>
        <w:rPr>
          <w:rFonts w:ascii="Times New Roman"/>
        </w:rPr>
        <w:t>Event: WWII 70th Anniversary Commemoration. It is hoped that, through this memorial radio callsign, the world can come to understand the past, learn history</w:t>
      </w:r>
      <w:r>
        <w:rPr>
          <w:rFonts w:hAnsi="Times New Roman"/>
        </w:rPr>
        <w:t>’</w:t>
      </w:r>
      <w:r>
        <w:rPr>
          <w:rFonts w:ascii="Times New Roman"/>
        </w:rPr>
        <w:t>s lessons and draw inspiration for futu</w:t>
      </w:r>
      <w:r>
        <w:rPr>
          <w:rFonts w:ascii="Times New Roman"/>
        </w:rPr>
        <w:t>re development. Today, as we commemorate the victory of the ROC</w:t>
      </w:r>
      <w:r>
        <w:rPr>
          <w:rFonts w:hAnsi="Times New Roman"/>
        </w:rPr>
        <w:t>’</w:t>
      </w:r>
      <w:r>
        <w:rPr>
          <w:rFonts w:ascii="Times New Roman"/>
        </w:rPr>
        <w:t>s resistance against Japanese aggression and the retrocession of Taiwan, we are marking the beginning of peace and the end of conflict. Our intent is not to harbor ill will toward nor stand in</w:t>
      </w:r>
      <w:r>
        <w:rPr>
          <w:rFonts w:ascii="Times New Roman"/>
        </w:rPr>
        <w:t xml:space="preserve"> opposition to another country, but to remember the sacrifices of our forebears, without which Taiwan would not be the free, democratic and prosperous society it has become today. We can forgive the invaders and colonists for some acts of aggression, but w</w:t>
      </w:r>
      <w:r>
        <w:rPr>
          <w:rFonts w:ascii="Times New Roman"/>
        </w:rPr>
        <w:t>e will never forget the blood and tears that have been shed by our people, and we must never allow it to happen again.</w:t>
      </w:r>
    </w:p>
    <w:p w:rsidR="00EC73F7" w:rsidRDefault="00A03977">
      <w:pPr>
        <w:pStyle w:val="a7"/>
        <w:jc w:val="both"/>
        <w:rPr>
          <w:rFonts w:ascii="Times New Roman" w:eastAsia="Times New Roman" w:hAnsi="Times New Roman" w:cs="Times New Roman"/>
        </w:rPr>
      </w:pPr>
      <w:r>
        <w:rPr>
          <w:rFonts w:ascii="Times New Roman"/>
        </w:rPr>
        <w:t>Operation period: 2015/7</w:t>
      </w:r>
    </w:p>
    <w:p w:rsidR="00EC73F7" w:rsidRDefault="00A03977">
      <w:pPr>
        <w:pStyle w:val="a7"/>
        <w:jc w:val="both"/>
        <w:rPr>
          <w:rFonts w:ascii="Times New Roman" w:eastAsia="Times New Roman" w:hAnsi="Times New Roman" w:cs="Times New Roman"/>
        </w:rPr>
      </w:pPr>
      <w:r>
        <w:rPr>
          <w:rFonts w:ascii="Times New Roman"/>
        </w:rPr>
        <w:t>Callsign: BV70V</w:t>
      </w:r>
    </w:p>
    <w:p w:rsidR="00EC73F7" w:rsidRDefault="00A03977">
      <w:pPr>
        <w:pStyle w:val="a7"/>
        <w:numPr>
          <w:ilvl w:val="0"/>
          <w:numId w:val="3"/>
        </w:numPr>
        <w:tabs>
          <w:tab w:val="num" w:pos="360"/>
        </w:tabs>
        <w:ind w:left="360" w:hanging="360"/>
        <w:jc w:val="both"/>
        <w:rPr>
          <w:rFonts w:ascii="Times New Roman" w:eastAsia="Times New Roman" w:hAnsi="Times New Roman" w:cs="Times New Roman"/>
        </w:rPr>
      </w:pPr>
      <w:r>
        <w:rPr>
          <w:rFonts w:ascii="Times New Roman"/>
        </w:rPr>
        <w:t>BV9A:</w:t>
      </w:r>
    </w:p>
    <w:p w:rsidR="00EC73F7" w:rsidRDefault="00A03977">
      <w:pPr>
        <w:pStyle w:val="a7"/>
        <w:jc w:val="both"/>
        <w:rPr>
          <w:rFonts w:ascii="Times New Roman" w:eastAsia="Times New Roman" w:hAnsi="Times New Roman" w:cs="Times New Roman"/>
        </w:rPr>
      </w:pPr>
      <w:r>
        <w:rPr>
          <w:rFonts w:ascii="Times New Roman"/>
        </w:rPr>
        <w:t>Event: 2015 IOTA Contest</w:t>
      </w:r>
    </w:p>
    <w:p w:rsidR="00EC73F7" w:rsidRDefault="00A03977">
      <w:pPr>
        <w:pStyle w:val="a7"/>
        <w:jc w:val="both"/>
        <w:rPr>
          <w:rFonts w:ascii="Times New Roman" w:eastAsia="Times New Roman" w:hAnsi="Times New Roman" w:cs="Times New Roman"/>
        </w:rPr>
      </w:pPr>
      <w:r>
        <w:rPr>
          <w:rFonts w:ascii="Times New Roman"/>
        </w:rPr>
        <w:t>Operation period: 2015/7/24</w:t>
      </w:r>
      <w:r>
        <w:rPr>
          <w:rFonts w:hAnsi="Times New Roman"/>
        </w:rPr>
        <w:t xml:space="preserve"> </w:t>
      </w:r>
      <w:r>
        <w:rPr>
          <w:rFonts w:hAnsi="Times New Roman"/>
        </w:rPr>
        <w:t>–</w:t>
      </w:r>
      <w:r>
        <w:rPr>
          <w:rFonts w:hAnsi="Times New Roman"/>
        </w:rPr>
        <w:t xml:space="preserve"> </w:t>
      </w:r>
      <w:r>
        <w:rPr>
          <w:rFonts w:ascii="Times New Roman"/>
        </w:rPr>
        <w:t>2015/7/27</w:t>
      </w:r>
    </w:p>
    <w:p w:rsidR="00EC73F7" w:rsidRDefault="00A03977">
      <w:pPr>
        <w:pStyle w:val="a7"/>
        <w:jc w:val="both"/>
        <w:rPr>
          <w:rFonts w:ascii="Times New Roman" w:eastAsia="Times New Roman" w:hAnsi="Times New Roman" w:cs="Times New Roman"/>
        </w:rPr>
      </w:pPr>
      <w:r>
        <w:rPr>
          <w:rFonts w:ascii="Times New Roman"/>
        </w:rPr>
        <w:t>Callsign: BV9A</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b/>
          <w:bCs/>
          <w:u w:val="single"/>
        </w:rPr>
      </w:pPr>
      <w:r>
        <w:rPr>
          <w:rFonts w:ascii="Times New Roman"/>
          <w:b/>
          <w:bCs/>
          <w:u w:val="single"/>
        </w:rPr>
        <w:t>Administration Amateur Radio Frequency allocations:</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rPr>
      </w:pPr>
      <w:r>
        <w:rPr>
          <w:rFonts w:ascii="Times New Roman"/>
        </w:rPr>
        <w:t>The following is the list of the amateur radio frequency allocation proposals proposed by CTARL to the national administration and the latest approved frequency allocations. We have tried hard to coopera</w:t>
      </w:r>
      <w:r>
        <w:rPr>
          <w:rFonts w:ascii="Times New Roman"/>
        </w:rPr>
        <w:t>te with the administration to achieve R3 bandplan allocations.</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rPr>
      </w:pPr>
      <w:r>
        <w:rPr>
          <w:rFonts w:ascii="Times New Roman"/>
        </w:rPr>
        <w:t>New approval since 15</w:t>
      </w:r>
      <w:r>
        <w:rPr>
          <w:rFonts w:ascii="Times New Roman"/>
          <w:vertAlign w:val="superscript"/>
        </w:rPr>
        <w:t>th</w:t>
      </w:r>
      <w:r>
        <w:rPr>
          <w:rFonts w:ascii="Times New Roman"/>
        </w:rPr>
        <w:t xml:space="preserve"> IARU-R3 conference:</w:t>
      </w:r>
    </w:p>
    <w:p w:rsidR="00EC73F7" w:rsidRDefault="00A03977">
      <w:pPr>
        <w:pStyle w:val="a7"/>
        <w:ind w:left="0"/>
        <w:jc w:val="both"/>
        <w:rPr>
          <w:rFonts w:ascii="Times New Roman" w:eastAsia="Times New Roman" w:hAnsi="Times New Roman" w:cs="Times New Roman"/>
        </w:rPr>
      </w:pPr>
      <w:r>
        <w:rPr>
          <w:rFonts w:ascii="Times New Roman"/>
        </w:rPr>
        <w:t>50.0 MHz - 50.15 MHz</w:t>
      </w:r>
    </w:p>
    <w:p w:rsidR="00EC73F7" w:rsidRDefault="00A03977">
      <w:pPr>
        <w:pStyle w:val="a7"/>
        <w:ind w:left="0"/>
        <w:jc w:val="both"/>
        <w:rPr>
          <w:rFonts w:ascii="Times New Roman" w:eastAsia="Times New Roman" w:hAnsi="Times New Roman" w:cs="Times New Roman"/>
        </w:rPr>
      </w:pPr>
      <w:r>
        <w:rPr>
          <w:rFonts w:ascii="Times New Roman"/>
        </w:rPr>
        <w:t xml:space="preserve">432.00 MHz </w:t>
      </w:r>
      <w:r>
        <w:rPr>
          <w:rFonts w:hAnsi="Times New Roman"/>
        </w:rPr>
        <w:t>–</w:t>
      </w:r>
      <w:r>
        <w:rPr>
          <w:rFonts w:hAnsi="Times New Roman"/>
        </w:rPr>
        <w:t xml:space="preserve"> </w:t>
      </w:r>
      <w:r>
        <w:rPr>
          <w:rFonts w:ascii="Times New Roman"/>
        </w:rPr>
        <w:t>440.00 Mhz</w:t>
      </w:r>
    </w:p>
    <w:p w:rsidR="00EC73F7" w:rsidRDefault="00EC73F7">
      <w:pPr>
        <w:pStyle w:val="a7"/>
        <w:ind w:left="0"/>
        <w:jc w:val="both"/>
        <w:rPr>
          <w:rFonts w:ascii="Times New Roman" w:eastAsia="Times New Roman" w:hAnsi="Times New Roman" w:cs="Times New Roman"/>
        </w:rPr>
      </w:pPr>
    </w:p>
    <w:p w:rsidR="00EC73F7" w:rsidRDefault="00A03977">
      <w:pPr>
        <w:pStyle w:val="a7"/>
        <w:ind w:left="0"/>
        <w:jc w:val="both"/>
        <w:rPr>
          <w:rFonts w:ascii="Times New Roman" w:eastAsia="Times New Roman" w:hAnsi="Times New Roman" w:cs="Times New Roman"/>
        </w:rPr>
      </w:pPr>
      <w:r>
        <w:rPr>
          <w:rFonts w:ascii="Times New Roman"/>
        </w:rPr>
        <w:t>Current proposals : (waiting for the decision of the administration)</w:t>
      </w:r>
    </w:p>
    <w:p w:rsidR="00EC73F7" w:rsidRDefault="00A03977">
      <w:pPr>
        <w:pStyle w:val="a7"/>
        <w:ind w:left="0"/>
        <w:jc w:val="both"/>
        <w:rPr>
          <w:rFonts w:ascii="Times New Roman" w:eastAsia="Times New Roman" w:hAnsi="Times New Roman" w:cs="Times New Roman"/>
        </w:rPr>
      </w:pPr>
      <w:r>
        <w:rPr>
          <w:rFonts w:ascii="Times New Roman"/>
        </w:rPr>
        <w:t>3.5125MHz - 3.5MHz</w:t>
      </w:r>
    </w:p>
    <w:p w:rsidR="00EC73F7" w:rsidRDefault="00A03977">
      <w:pPr>
        <w:pStyle w:val="a7"/>
        <w:ind w:left="0"/>
        <w:jc w:val="both"/>
        <w:rPr>
          <w:rFonts w:ascii="Times New Roman" w:eastAsia="Times New Roman" w:hAnsi="Times New Roman" w:cs="Times New Roman"/>
        </w:rPr>
      </w:pPr>
      <w:r>
        <w:rPr>
          <w:rFonts w:ascii="Times New Roman"/>
        </w:rPr>
        <w:t xml:space="preserve">3.5625MHz - </w:t>
      </w:r>
      <w:r>
        <w:rPr>
          <w:rFonts w:ascii="Times New Roman"/>
        </w:rPr>
        <w:t>3.9MHz</w:t>
      </w:r>
    </w:p>
    <w:p w:rsidR="00EC73F7" w:rsidRDefault="00A03977">
      <w:pPr>
        <w:pStyle w:val="a7"/>
        <w:ind w:left="0"/>
        <w:jc w:val="both"/>
        <w:rPr>
          <w:rFonts w:ascii="Times New Roman" w:eastAsia="Times New Roman" w:hAnsi="Times New Roman" w:cs="Times New Roman"/>
        </w:rPr>
      </w:pPr>
      <w:r>
        <w:rPr>
          <w:rFonts w:ascii="Times New Roman"/>
        </w:rPr>
        <w:t>50.15 MHz - 54.00 MHz</w:t>
      </w:r>
    </w:p>
    <w:p w:rsidR="00EC73F7" w:rsidRDefault="00A03977">
      <w:pPr>
        <w:pStyle w:val="a7"/>
        <w:ind w:left="0"/>
        <w:jc w:val="both"/>
        <w:rPr>
          <w:rFonts w:ascii="Times New Roman" w:eastAsia="Times New Roman" w:hAnsi="Times New Roman" w:cs="Times New Roman"/>
        </w:rPr>
      </w:pPr>
      <w:r>
        <w:rPr>
          <w:rFonts w:ascii="Times New Roman"/>
        </w:rPr>
        <w:t>146MHz - 148MHz</w:t>
      </w:r>
    </w:p>
    <w:p w:rsidR="00EC73F7" w:rsidRDefault="00A03977">
      <w:pPr>
        <w:pStyle w:val="a7"/>
        <w:ind w:left="0"/>
        <w:jc w:val="both"/>
        <w:rPr>
          <w:rFonts w:ascii="Times New Roman" w:eastAsia="Times New Roman" w:hAnsi="Times New Roman" w:cs="Times New Roman"/>
        </w:rPr>
      </w:pPr>
      <w:r>
        <w:rPr>
          <w:rFonts w:ascii="Times New Roman"/>
        </w:rPr>
        <w:lastRenderedPageBreak/>
        <w:t>1240MHz - 1260MHz</w:t>
      </w:r>
    </w:p>
    <w:p w:rsidR="00EC73F7" w:rsidRDefault="00A03977">
      <w:pPr>
        <w:pStyle w:val="a7"/>
        <w:ind w:left="0"/>
        <w:jc w:val="both"/>
        <w:rPr>
          <w:rFonts w:ascii="Times New Roman" w:eastAsia="Times New Roman" w:hAnsi="Times New Roman" w:cs="Times New Roman"/>
        </w:rPr>
      </w:pPr>
      <w:r>
        <w:rPr>
          <w:rFonts w:ascii="Times New Roman"/>
        </w:rPr>
        <w:t>1265MHz - 1300MHz</w:t>
      </w:r>
    </w:p>
    <w:p w:rsidR="00EC73F7" w:rsidRDefault="00A03977">
      <w:pPr>
        <w:pStyle w:val="Table"/>
        <w:keepNext w:val="0"/>
        <w:tabs>
          <w:tab w:val="clear" w:pos="794"/>
          <w:tab w:val="clear" w:pos="1191"/>
          <w:tab w:val="clear" w:pos="1588"/>
          <w:tab w:val="clear" w:pos="1985"/>
        </w:tabs>
        <w:spacing w:before="120" w:after="0"/>
      </w:pPr>
      <w:r>
        <w:rPr>
          <w:caps w:val="0"/>
        </w:rPr>
        <w:t>____________________</w:t>
      </w:r>
    </w:p>
    <w:sectPr w:rsidR="00EC73F7">
      <w:headerReference w:type="default" r:id="rId11"/>
      <w:footerReference w:type="default" r:id="rId12"/>
      <w:headerReference w:type="first" r:id="rId13"/>
      <w:footerReference w:type="first" r:id="rId14"/>
      <w:pgSz w:w="11900" w:h="16840"/>
      <w:pgMar w:top="1418" w:right="1134" w:bottom="1701"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977" w:rsidRDefault="00A03977">
      <w:r>
        <w:separator/>
      </w:r>
    </w:p>
  </w:endnote>
  <w:endnote w:type="continuationSeparator" w:id="0">
    <w:p w:rsidR="00A03977" w:rsidRDefault="00A03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modern"/>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Times">
    <w:panose1 w:val="02020603050405020304"/>
    <w:charset w:val="00"/>
    <w:family w:val="roman"/>
    <w:pitch w:val="default"/>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73F7" w:rsidRDefault="00EC73F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73F7" w:rsidRDefault="00EC73F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977" w:rsidRDefault="00A03977">
      <w:r>
        <w:separator/>
      </w:r>
    </w:p>
  </w:footnote>
  <w:footnote w:type="continuationSeparator" w:id="0">
    <w:p w:rsidR="00A03977" w:rsidRDefault="00A039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73F7" w:rsidRDefault="00A03977">
    <w:pPr>
      <w:pStyle w:val="a4"/>
      <w:jc w:val="center"/>
    </w:pPr>
    <w:r>
      <w:rPr>
        <w:sz w:val="20"/>
        <w:szCs w:val="20"/>
      </w:rPr>
      <w:t xml:space="preserve">- </w:t>
    </w:r>
    <w:r>
      <w:rPr>
        <w:sz w:val="20"/>
        <w:szCs w:val="20"/>
      </w:rPr>
      <w:fldChar w:fldCharType="begin"/>
    </w:r>
    <w:r>
      <w:rPr>
        <w:sz w:val="20"/>
        <w:szCs w:val="20"/>
      </w:rPr>
      <w:instrText xml:space="preserve"> PAGE </w:instrText>
    </w:r>
    <w:r>
      <w:rPr>
        <w:sz w:val="20"/>
        <w:szCs w:val="20"/>
      </w:rPr>
      <w:fldChar w:fldCharType="separate"/>
    </w:r>
    <w:r w:rsidR="00DD5086">
      <w:rPr>
        <w:noProof/>
        <w:sz w:val="20"/>
        <w:szCs w:val="20"/>
      </w:rPr>
      <w:t>2</w:t>
    </w:r>
    <w:r>
      <w:rPr>
        <w:sz w:val="20"/>
        <w:szCs w:val="20"/>
      </w:rPr>
      <w:fldChar w:fldCharType="end"/>
    </w:r>
    <w:r>
      <w:rPr>
        <w:sz w:val="20"/>
        <w:szCs w:val="20"/>
      </w:rPr>
      <w:t xml:space="preserve"> -</w:t>
    </w:r>
    <w:r>
      <w:rPr>
        <w:sz w:val="20"/>
        <w:szCs w:val="20"/>
      </w:rPr>
      <w:br/>
    </w:r>
    <w:r>
      <w:rPr>
        <w:sz w:val="20"/>
        <w:szCs w:val="20"/>
      </w:rPr>
      <w:t>Document No. 15/XVI/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73F7" w:rsidRDefault="00EC73F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D4D93"/>
    <w:multiLevelType w:val="multilevel"/>
    <w:tmpl w:val="757A5716"/>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abstractNum w:abstractNumId="1" w15:restartNumberingAfterBreak="0">
    <w:nsid w:val="33406710"/>
    <w:multiLevelType w:val="multilevel"/>
    <w:tmpl w:val="1916BC18"/>
    <w:styleLink w:val="List0"/>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abstractNum w:abstractNumId="2" w15:restartNumberingAfterBreak="0">
    <w:nsid w:val="670A3C3E"/>
    <w:multiLevelType w:val="multilevel"/>
    <w:tmpl w:val="B1B6024A"/>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3F7"/>
    <w:rsid w:val="00A03977"/>
    <w:rsid w:val="00DD5086"/>
    <w:rsid w:val="00EC73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4EA4B543-D781-4D84-8DD7-6ACAB4839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rFonts w:eastAsia="Times New Roman"/>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a4">
    <w:name w:val="header"/>
    <w:pPr>
      <w:tabs>
        <w:tab w:val="center" w:pos="4320"/>
        <w:tab w:val="right" w:pos="8640"/>
      </w:tabs>
    </w:pPr>
    <w:rPr>
      <w:rFonts w:hAnsi="Arial Unicode MS" w:cs="Arial Unicode MS"/>
      <w:color w:val="000000"/>
      <w:sz w:val="24"/>
      <w:szCs w:val="24"/>
      <w:u w:color="000000"/>
    </w:rPr>
  </w:style>
  <w:style w:type="paragraph" w:customStyle="1" w:styleId="a5">
    <w:name w:val="頁首與頁尾"/>
    <w:pPr>
      <w:tabs>
        <w:tab w:val="right" w:pos="9020"/>
      </w:tabs>
    </w:pPr>
    <w:rPr>
      <w:rFonts w:ascii="Helvetica" w:eastAsia="Helvetica" w:hAnsi="Helvetica" w:cs="Helvetica"/>
      <w:color w:val="000000"/>
      <w:sz w:val="24"/>
      <w:szCs w:val="24"/>
    </w:rPr>
  </w:style>
  <w:style w:type="paragraph" w:customStyle="1" w:styleId="a6">
    <w:name w:val="內文"/>
    <w:rPr>
      <w:rFonts w:ascii="Helvetica" w:eastAsia="Helvetica" w:hAnsi="Helvetica" w:cs="Helvetica"/>
      <w:color w:val="000000"/>
      <w:sz w:val="22"/>
      <w:szCs w:val="22"/>
    </w:rPr>
  </w:style>
  <w:style w:type="paragraph" w:customStyle="1" w:styleId="Head">
    <w:name w:val="Head"/>
    <w:pPr>
      <w:tabs>
        <w:tab w:val="left" w:pos="6663"/>
      </w:tabs>
    </w:pPr>
    <w:rPr>
      <w:rFonts w:hAnsi="Arial Unicode MS" w:cs="Arial Unicode MS"/>
      <w:color w:val="000000"/>
      <w:sz w:val="24"/>
      <w:szCs w:val="24"/>
      <w:u w:color="000000"/>
    </w:rPr>
  </w:style>
  <w:style w:type="paragraph" w:customStyle="1" w:styleId="Data">
    <w:name w:val="Data"/>
    <w:next w:val="Subject"/>
    <w:pPr>
      <w:tabs>
        <w:tab w:val="left" w:pos="1134"/>
      </w:tabs>
      <w:ind w:left="1134" w:hanging="1134"/>
    </w:pPr>
    <w:rPr>
      <w:rFonts w:eastAsia="Times New Roman"/>
      <w:color w:val="000000"/>
      <w:sz w:val="24"/>
      <w:szCs w:val="24"/>
      <w:u w:color="000000"/>
    </w:rPr>
  </w:style>
  <w:style w:type="paragraph" w:customStyle="1" w:styleId="Subject">
    <w:name w:val="Subject"/>
    <w:next w:val="a"/>
    <w:pPr>
      <w:tabs>
        <w:tab w:val="left" w:pos="1134"/>
      </w:tabs>
      <w:ind w:left="1134" w:hanging="1134"/>
    </w:pPr>
    <w:rPr>
      <w:rFonts w:eastAsia="Times New Roman"/>
      <w:color w:val="000000"/>
      <w:sz w:val="24"/>
      <w:szCs w:val="24"/>
      <w:u w:color="000000"/>
    </w:rPr>
  </w:style>
  <w:style w:type="paragraph" w:customStyle="1" w:styleId="a7">
    <w:name w:val="清單段落"/>
    <w:pPr>
      <w:spacing w:after="200" w:line="276" w:lineRule="auto"/>
      <w:ind w:left="720"/>
    </w:pPr>
    <w:rPr>
      <w:rFonts w:ascii="Century" w:eastAsia="Century" w:hAnsi="Century" w:cs="Century"/>
      <w:color w:val="000000"/>
      <w:sz w:val="22"/>
      <w:szCs w:val="22"/>
      <w:u w:color="000000"/>
    </w:rPr>
  </w:style>
  <w:style w:type="numbering" w:customStyle="1" w:styleId="List0">
    <w:name w:val="List 0"/>
    <w:basedOn w:val="1"/>
    <w:pPr>
      <w:numPr>
        <w:numId w:val="3"/>
      </w:numPr>
    </w:pPr>
  </w:style>
  <w:style w:type="numbering" w:customStyle="1" w:styleId="1">
    <w:name w:val="已輸入樣式 1"/>
  </w:style>
  <w:style w:type="character" w:customStyle="1" w:styleId="Hyperlink0">
    <w:name w:val="Hyperlink.0"/>
    <w:basedOn w:val="a3"/>
    <w:rPr>
      <w:u w:val="single"/>
    </w:rPr>
  </w:style>
  <w:style w:type="paragraph" w:customStyle="1" w:styleId="Table">
    <w:name w:val="Table_#"/>
    <w:next w:val="a"/>
    <w:pPr>
      <w:keepNext/>
      <w:tabs>
        <w:tab w:val="left" w:pos="794"/>
        <w:tab w:val="left" w:pos="1191"/>
        <w:tab w:val="left" w:pos="1588"/>
        <w:tab w:val="left" w:pos="1985"/>
      </w:tabs>
      <w:spacing w:before="560" w:after="120"/>
      <w:jc w:val="center"/>
    </w:pPr>
    <w:rPr>
      <w:rFonts w:hAnsi="Arial Unicode MS" w:cs="Arial Unicode MS"/>
      <w:cap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tarl.org.tw/bv5ya/2013-14/2014-BO0D.htm" TargetMode="External"/><Relationship Id="rId4" Type="http://schemas.openxmlformats.org/officeDocument/2006/relationships/webSettings" Target="webSettings.xml"/><Relationship Id="rId9" Type="http://schemas.openxmlformats.org/officeDocument/2006/relationships/hyperlink" Target="http://www.matsu-nsa.gov.tw/user/Attraction-Content.aspx?1=83&amp;I=1" TargetMode="External"/><Relationship Id="rId14"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ＭＳ ゴシック"/>
        <a:cs typeface="Helvetica"/>
      </a:majorFont>
      <a:minorFont>
        <a:latin typeface="Helvetica"/>
        <a:ea typeface="ＭＳ 明朝"/>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432</Words>
  <Characters>2466</Characters>
  <Application>Microsoft Office Word</Application>
  <DocSecurity>0</DocSecurity>
  <Lines>20</Lines>
  <Paragraphs>5</Paragraphs>
  <ScaleCrop>false</ScaleCrop>
  <Company/>
  <LinksUpToDate>false</LinksUpToDate>
  <CharactersWithSpaces>2893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 Yamamoto</cp:lastModifiedBy>
  <cp:revision>3</cp:revision>
  <dcterms:created xsi:type="dcterms:W3CDTF">2015-10-15T23:43:00Z</dcterms:created>
  <dcterms:modified xsi:type="dcterms:W3CDTF">2015-10-15T23:45:00Z</dcterms:modified>
</cp:coreProperties>
</file>